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A4" w:rsidRDefault="00D900A4" w:rsidP="00F156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670" w:rsidRPr="00A06C1D" w:rsidRDefault="001823A5" w:rsidP="00F1567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MANDATE</w:t>
      </w:r>
    </w:p>
    <w:p w:rsidR="00A06C1D" w:rsidRDefault="00A06C1D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743C1B" w:rsidRPr="00A06C1D" w:rsidRDefault="001823A5" w:rsidP="00F156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</w:t>
      </w:r>
      <w:r w:rsidR="00F15670" w:rsidRPr="00A06C1D">
        <w:rPr>
          <w:rFonts w:cs="Times New Roman"/>
          <w:sz w:val="24"/>
          <w:szCs w:val="24"/>
        </w:rPr>
        <w:t xml:space="preserve"> </w:t>
      </w:r>
      <w:r w:rsidR="00743C1B" w:rsidRPr="00A06C1D">
        <w:rPr>
          <w:rFonts w:cs="Times New Roman"/>
          <w:sz w:val="24"/>
          <w:szCs w:val="24"/>
        </w:rPr>
        <w:t>Health Education Reference Council (HERC)</w:t>
      </w:r>
      <w:r w:rsidR="00F15670" w:rsidRPr="00A06C1D">
        <w:rPr>
          <w:rFonts w:cs="Times New Roman"/>
          <w:sz w:val="24"/>
          <w:szCs w:val="24"/>
        </w:rPr>
        <w:t xml:space="preserve"> is </w:t>
      </w:r>
      <w:r>
        <w:rPr>
          <w:rFonts w:cs="Times New Roman"/>
          <w:sz w:val="24"/>
          <w:szCs w:val="24"/>
        </w:rPr>
        <w:t xml:space="preserve">established </w:t>
      </w:r>
      <w:r w:rsidR="00F15670" w:rsidRPr="00A06C1D">
        <w:rPr>
          <w:rFonts w:cs="Times New Roman"/>
          <w:sz w:val="24"/>
          <w:szCs w:val="24"/>
        </w:rPr>
        <w:t xml:space="preserve">to act as a strategic </w:t>
      </w:r>
      <w:r w:rsidR="00C53380" w:rsidRPr="00A06C1D">
        <w:rPr>
          <w:rFonts w:cs="Times New Roman"/>
          <w:sz w:val="24"/>
          <w:szCs w:val="24"/>
        </w:rPr>
        <w:t xml:space="preserve">forum to facilitate informed and integrated planning </w:t>
      </w:r>
      <w:r w:rsidR="00423AEC" w:rsidRPr="00A06C1D">
        <w:rPr>
          <w:rFonts w:cs="Times New Roman"/>
          <w:sz w:val="24"/>
          <w:szCs w:val="24"/>
        </w:rPr>
        <w:t xml:space="preserve">and provide </w:t>
      </w:r>
      <w:r w:rsidR="00A06C1D">
        <w:rPr>
          <w:rFonts w:cs="Times New Roman"/>
          <w:sz w:val="24"/>
          <w:szCs w:val="24"/>
        </w:rPr>
        <w:t xml:space="preserve">advice and/or </w:t>
      </w:r>
      <w:r w:rsidR="00423AEC" w:rsidRPr="00A06C1D">
        <w:rPr>
          <w:rFonts w:cs="Times New Roman"/>
          <w:sz w:val="24"/>
          <w:szCs w:val="24"/>
        </w:rPr>
        <w:t xml:space="preserve">recommendations </w:t>
      </w:r>
      <w:r w:rsidR="00C53380" w:rsidRPr="00A06C1D">
        <w:rPr>
          <w:rFonts w:cs="Times New Roman"/>
          <w:sz w:val="24"/>
          <w:szCs w:val="24"/>
        </w:rPr>
        <w:t>on</w:t>
      </w:r>
      <w:r w:rsidR="00F15670" w:rsidRPr="00A06C1D">
        <w:rPr>
          <w:rFonts w:cs="Times New Roman"/>
          <w:sz w:val="24"/>
          <w:szCs w:val="24"/>
        </w:rPr>
        <w:t xml:space="preserve"> a </w:t>
      </w:r>
      <w:r w:rsidR="00ED05F1">
        <w:rPr>
          <w:rFonts w:cs="Times New Roman"/>
          <w:sz w:val="24"/>
          <w:szCs w:val="24"/>
        </w:rPr>
        <w:t xml:space="preserve">coordinated </w:t>
      </w:r>
      <w:r w:rsidR="0074028E" w:rsidRPr="00A06C1D">
        <w:rPr>
          <w:rFonts w:cs="Times New Roman"/>
          <w:sz w:val="24"/>
          <w:szCs w:val="24"/>
        </w:rPr>
        <w:t>provincial approach to</w:t>
      </w:r>
      <w:r w:rsidR="00F15670" w:rsidRPr="00A06C1D">
        <w:rPr>
          <w:rFonts w:cs="Times New Roman"/>
          <w:sz w:val="24"/>
          <w:szCs w:val="24"/>
        </w:rPr>
        <w:t xml:space="preserve"> issues </w:t>
      </w:r>
      <w:r w:rsidR="00743C1B" w:rsidRPr="00A06C1D">
        <w:rPr>
          <w:rFonts w:cs="Times New Roman"/>
          <w:sz w:val="24"/>
          <w:szCs w:val="24"/>
        </w:rPr>
        <w:t xml:space="preserve">involving </w:t>
      </w:r>
      <w:r w:rsidR="00F21482">
        <w:rPr>
          <w:rFonts w:cs="Times New Roman"/>
          <w:sz w:val="24"/>
          <w:szCs w:val="24"/>
        </w:rPr>
        <w:t xml:space="preserve">health sciences education. </w:t>
      </w:r>
      <w:r w:rsidR="00743C1B" w:rsidRPr="00A06C1D">
        <w:rPr>
          <w:rFonts w:cs="Times New Roman"/>
          <w:sz w:val="24"/>
          <w:szCs w:val="24"/>
        </w:rPr>
        <w:t xml:space="preserve"> </w:t>
      </w:r>
    </w:p>
    <w:p w:rsidR="00743C1B" w:rsidRPr="00A06C1D" w:rsidRDefault="00743C1B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DE2143" w:rsidRDefault="00C53380" w:rsidP="00F15670">
      <w:pPr>
        <w:spacing w:after="0" w:line="240" w:lineRule="auto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 xml:space="preserve">The </w:t>
      </w:r>
      <w:r w:rsidR="00743C1B" w:rsidRPr="00A06C1D">
        <w:rPr>
          <w:rFonts w:cs="Times New Roman"/>
          <w:sz w:val="24"/>
          <w:szCs w:val="24"/>
        </w:rPr>
        <w:t>HERC</w:t>
      </w:r>
      <w:r w:rsidR="00423AEC" w:rsidRPr="00A06C1D">
        <w:rPr>
          <w:rFonts w:cs="Times New Roman"/>
          <w:sz w:val="24"/>
          <w:szCs w:val="24"/>
        </w:rPr>
        <w:t xml:space="preserve"> recognizes that effective communication and coordination between the Government of British Columbia as represented by the Ministry of Advanced Education, Skills and Training, and public post-secondary institu</w:t>
      </w:r>
      <w:r w:rsidR="00A06C1D">
        <w:rPr>
          <w:rFonts w:cs="Times New Roman"/>
          <w:sz w:val="24"/>
          <w:szCs w:val="24"/>
        </w:rPr>
        <w:t>tions with a mandate to deliver</w:t>
      </w:r>
      <w:r w:rsidR="00423AEC" w:rsidRPr="00A06C1D">
        <w:rPr>
          <w:rFonts w:cs="Times New Roman"/>
          <w:sz w:val="24"/>
          <w:szCs w:val="24"/>
        </w:rPr>
        <w:t xml:space="preserve"> health and medical educatio</w:t>
      </w:r>
      <w:r w:rsidR="00DE2143" w:rsidRPr="00A06C1D">
        <w:rPr>
          <w:rFonts w:cs="Times New Roman"/>
          <w:sz w:val="24"/>
          <w:szCs w:val="24"/>
        </w:rPr>
        <w:t>n programs</w:t>
      </w:r>
      <w:r w:rsidR="00A06C1D">
        <w:rPr>
          <w:rFonts w:cs="Times New Roman"/>
          <w:sz w:val="24"/>
          <w:szCs w:val="24"/>
        </w:rPr>
        <w:t>,</w:t>
      </w:r>
      <w:r w:rsidR="00DE2143" w:rsidRPr="00A06C1D">
        <w:rPr>
          <w:rFonts w:cs="Times New Roman"/>
          <w:sz w:val="24"/>
          <w:szCs w:val="24"/>
        </w:rPr>
        <w:t xml:space="preserve"> is vital to meeting established and emerging health education priorities. </w:t>
      </w:r>
    </w:p>
    <w:p w:rsidR="002F3761" w:rsidRDefault="002F3761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F21482" w:rsidRDefault="002F3761" w:rsidP="00F156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HERC will </w:t>
      </w:r>
      <w:r w:rsidR="00F21482">
        <w:rPr>
          <w:rFonts w:cs="Times New Roman"/>
          <w:sz w:val="24"/>
          <w:szCs w:val="24"/>
        </w:rPr>
        <w:t>leverage the experience and knowledge of members representing the broad range of health sciences disciplines, and through discussion and consultation</w:t>
      </w:r>
      <w:r w:rsidR="00AE0E40">
        <w:rPr>
          <w:rFonts w:cs="Times New Roman"/>
          <w:sz w:val="24"/>
          <w:szCs w:val="24"/>
        </w:rPr>
        <w:t xml:space="preserve"> provide advice</w:t>
      </w:r>
      <w:r w:rsidR="00F21482">
        <w:rPr>
          <w:rFonts w:cs="Times New Roman"/>
          <w:sz w:val="24"/>
          <w:szCs w:val="24"/>
        </w:rPr>
        <w:t xml:space="preserve"> and id</w:t>
      </w:r>
      <w:r w:rsidR="00871D81">
        <w:rPr>
          <w:rFonts w:cs="Times New Roman"/>
          <w:sz w:val="24"/>
          <w:szCs w:val="24"/>
        </w:rPr>
        <w:t xml:space="preserve">entify strategies to ensure an ongoing effective </w:t>
      </w:r>
      <w:r w:rsidR="00F21482">
        <w:rPr>
          <w:rFonts w:cs="Times New Roman"/>
          <w:sz w:val="24"/>
          <w:szCs w:val="24"/>
        </w:rPr>
        <w:t xml:space="preserve">alignment between health education, post-secondary institution mandates and responsibilities, and government priorities. </w:t>
      </w:r>
    </w:p>
    <w:p w:rsidR="003D68FC" w:rsidRDefault="003D68FC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4E5F3A" w:rsidRPr="004E5F3A" w:rsidRDefault="003D68FC" w:rsidP="004E5F3A">
      <w:pPr>
        <w:spacing w:after="0" w:line="240" w:lineRule="auto"/>
        <w:rPr>
          <w:rFonts w:cs="Times New Roman"/>
          <w:sz w:val="24"/>
          <w:szCs w:val="24"/>
        </w:rPr>
      </w:pPr>
      <w:r w:rsidRPr="004E5F3A">
        <w:rPr>
          <w:rFonts w:cs="Times New Roman"/>
          <w:sz w:val="24"/>
          <w:szCs w:val="24"/>
        </w:rPr>
        <w:t>The HERC recognizes</w:t>
      </w:r>
      <w:r w:rsidR="006021F4" w:rsidRPr="004E5F3A">
        <w:rPr>
          <w:rFonts w:cs="Times New Roman"/>
          <w:sz w:val="24"/>
          <w:szCs w:val="24"/>
        </w:rPr>
        <w:t xml:space="preserve"> </w:t>
      </w:r>
      <w:r w:rsidR="00FC0BD6" w:rsidRPr="004E5F3A">
        <w:rPr>
          <w:rFonts w:cs="Times New Roman"/>
          <w:sz w:val="24"/>
          <w:szCs w:val="24"/>
        </w:rPr>
        <w:t>the</w:t>
      </w:r>
      <w:r w:rsidR="006021F4" w:rsidRPr="004E5F3A">
        <w:rPr>
          <w:rFonts w:cs="Times New Roman"/>
          <w:sz w:val="24"/>
          <w:szCs w:val="24"/>
        </w:rPr>
        <w:t xml:space="preserve"> </w:t>
      </w:r>
      <w:r w:rsidR="00E55C06" w:rsidRPr="004E5F3A">
        <w:rPr>
          <w:rFonts w:cs="Times New Roman"/>
          <w:sz w:val="24"/>
          <w:szCs w:val="24"/>
        </w:rPr>
        <w:t xml:space="preserve">importance of ensuring health and medical </w:t>
      </w:r>
      <w:r w:rsidR="00DE0F66" w:rsidRPr="004E5F3A">
        <w:rPr>
          <w:rFonts w:cs="Times New Roman"/>
          <w:sz w:val="24"/>
          <w:szCs w:val="24"/>
        </w:rPr>
        <w:t xml:space="preserve">education </w:t>
      </w:r>
      <w:r w:rsidR="00FC0BD6" w:rsidRPr="004E5F3A">
        <w:rPr>
          <w:rFonts w:cs="Times New Roman"/>
          <w:sz w:val="24"/>
          <w:szCs w:val="24"/>
        </w:rPr>
        <w:t xml:space="preserve">programs </w:t>
      </w:r>
      <w:r w:rsidR="00681B95" w:rsidRPr="004E5F3A">
        <w:rPr>
          <w:rFonts w:cs="Times New Roman"/>
          <w:sz w:val="24"/>
          <w:szCs w:val="24"/>
        </w:rPr>
        <w:t>can</w:t>
      </w:r>
      <w:r w:rsidR="00FC0BD6" w:rsidRPr="004E5F3A">
        <w:rPr>
          <w:rFonts w:cs="Times New Roman"/>
          <w:sz w:val="24"/>
          <w:szCs w:val="24"/>
        </w:rPr>
        <w:t xml:space="preserve"> adapt to </w:t>
      </w:r>
      <w:r w:rsidR="0090396A">
        <w:rPr>
          <w:rFonts w:cs="Times New Roman"/>
          <w:sz w:val="24"/>
          <w:szCs w:val="24"/>
        </w:rPr>
        <w:t>student, employer and provincial needs</w:t>
      </w:r>
      <w:r w:rsidR="00FC0BD6" w:rsidRPr="004E5F3A">
        <w:rPr>
          <w:rFonts w:cs="Times New Roman"/>
          <w:sz w:val="24"/>
          <w:szCs w:val="24"/>
        </w:rPr>
        <w:t>.</w:t>
      </w:r>
      <w:r w:rsidR="00B06BC5" w:rsidRPr="004E5F3A">
        <w:rPr>
          <w:rFonts w:cs="Times New Roman"/>
          <w:sz w:val="24"/>
          <w:szCs w:val="24"/>
        </w:rPr>
        <w:t xml:space="preserve"> </w:t>
      </w:r>
      <w:r w:rsidR="00F96137" w:rsidRPr="004E5F3A">
        <w:rPr>
          <w:rFonts w:cs="Times New Roman"/>
          <w:sz w:val="24"/>
          <w:szCs w:val="24"/>
        </w:rPr>
        <w:t>Key areas</w:t>
      </w:r>
      <w:r w:rsidR="004B51CD" w:rsidRPr="004E5F3A">
        <w:rPr>
          <w:rFonts w:cs="Times New Roman"/>
          <w:sz w:val="24"/>
          <w:szCs w:val="24"/>
        </w:rPr>
        <w:t xml:space="preserve"> to be addressed by the council include, but are not limited to: </w:t>
      </w:r>
    </w:p>
    <w:p w:rsidR="004B51CD" w:rsidRDefault="004B51CD" w:rsidP="00681B9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Clinical placement </w:t>
      </w:r>
      <w:r w:rsidR="004E5F3A">
        <w:rPr>
          <w:rFonts w:cs="Times New Roman"/>
          <w:sz w:val="24"/>
          <w:szCs w:val="24"/>
        </w:rPr>
        <w:t xml:space="preserve">policy, </w:t>
      </w:r>
      <w:r w:rsidR="00C33B22">
        <w:rPr>
          <w:rFonts w:cs="Times New Roman"/>
          <w:sz w:val="24"/>
          <w:szCs w:val="24"/>
        </w:rPr>
        <w:t>models</w:t>
      </w:r>
      <w:r w:rsidR="004E5F3A">
        <w:rPr>
          <w:rFonts w:cs="Times New Roman"/>
          <w:sz w:val="24"/>
          <w:szCs w:val="24"/>
        </w:rPr>
        <w:t>, and innovation</w:t>
      </w:r>
      <w:r w:rsidR="00F96137">
        <w:rPr>
          <w:rFonts w:cs="Times New Roman"/>
          <w:sz w:val="24"/>
          <w:szCs w:val="24"/>
        </w:rPr>
        <w:t>;</w:t>
      </w:r>
    </w:p>
    <w:p w:rsidR="00F96137" w:rsidRDefault="004B51CD" w:rsidP="00681B9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Transition to practice</w:t>
      </w:r>
      <w:r w:rsidR="00F96137">
        <w:rPr>
          <w:rFonts w:cs="Times New Roman"/>
          <w:sz w:val="24"/>
          <w:szCs w:val="24"/>
        </w:rPr>
        <w:t>;</w:t>
      </w:r>
    </w:p>
    <w:p w:rsidR="00E22818" w:rsidRPr="00681B95" w:rsidRDefault="00E22818" w:rsidP="00681B9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Changes in student and employer needs and pedagogical approaches;</w:t>
      </w:r>
    </w:p>
    <w:p w:rsidR="00C33B22" w:rsidRDefault="00C33B22" w:rsidP="00681B9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Potential program </w:t>
      </w:r>
      <w:r w:rsidR="007B4562">
        <w:rPr>
          <w:rFonts w:cs="Times New Roman"/>
          <w:sz w:val="24"/>
          <w:szCs w:val="24"/>
        </w:rPr>
        <w:t xml:space="preserve">seat </w:t>
      </w:r>
      <w:r>
        <w:rPr>
          <w:rFonts w:cs="Times New Roman"/>
          <w:sz w:val="24"/>
          <w:szCs w:val="24"/>
        </w:rPr>
        <w:t>expansions</w:t>
      </w:r>
      <w:r w:rsidR="00F96137">
        <w:rPr>
          <w:rFonts w:cs="Times New Roman"/>
          <w:sz w:val="24"/>
          <w:szCs w:val="24"/>
        </w:rPr>
        <w:t>;</w:t>
      </w:r>
      <w:r w:rsidR="004E5F3A">
        <w:rPr>
          <w:rFonts w:cs="Times New Roman"/>
          <w:sz w:val="24"/>
          <w:szCs w:val="24"/>
        </w:rPr>
        <w:t xml:space="preserve"> and</w:t>
      </w:r>
    </w:p>
    <w:p w:rsidR="004B51CD" w:rsidRPr="00681B95" w:rsidRDefault="00AB45BE" w:rsidP="00681B9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</w:t>
      </w:r>
      <w:r w:rsidR="004B51CD">
        <w:rPr>
          <w:rFonts w:cs="Times New Roman"/>
          <w:sz w:val="24"/>
          <w:szCs w:val="24"/>
        </w:rPr>
        <w:t xml:space="preserve"> policy </w:t>
      </w:r>
      <w:r w:rsidR="00C33B22">
        <w:rPr>
          <w:rFonts w:cs="Times New Roman"/>
          <w:sz w:val="24"/>
          <w:szCs w:val="24"/>
        </w:rPr>
        <w:t>recommendations</w:t>
      </w:r>
      <w:r w:rsidR="004E5F3A">
        <w:rPr>
          <w:rFonts w:cs="Times New Roman"/>
          <w:sz w:val="24"/>
          <w:szCs w:val="24"/>
        </w:rPr>
        <w:t>.</w:t>
      </w:r>
    </w:p>
    <w:p w:rsidR="005E1455" w:rsidRDefault="005E1455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5E1455" w:rsidRDefault="005E1455" w:rsidP="00F156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HERC will </w:t>
      </w:r>
      <w:r w:rsidR="00C169F7">
        <w:rPr>
          <w:rFonts w:cs="Times New Roman"/>
          <w:sz w:val="24"/>
          <w:szCs w:val="24"/>
        </w:rPr>
        <w:t>provide advice and recommendations to the Assistant Deputy Minister, Post-Secondary Policy and Programs, Ministry of Advanced Education, Skills and Training.  The HERC may also be asked to provide advice directly</w:t>
      </w:r>
      <w:r>
        <w:rPr>
          <w:rFonts w:cs="Times New Roman"/>
          <w:sz w:val="24"/>
          <w:szCs w:val="24"/>
        </w:rPr>
        <w:t xml:space="preserve"> to the Planning Board for Health and Medical Education – a joint committee of the Ministry of Advanced Education, Skills and Training and Ministry of Health.</w:t>
      </w:r>
    </w:p>
    <w:p w:rsidR="00DE2143" w:rsidRDefault="00DE2143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1823A5" w:rsidRPr="008E0161" w:rsidRDefault="001823A5" w:rsidP="00F15670">
      <w:pPr>
        <w:spacing w:after="0" w:line="240" w:lineRule="auto"/>
        <w:rPr>
          <w:rFonts w:cs="Times New Roman"/>
          <w:b/>
          <w:sz w:val="24"/>
          <w:szCs w:val="24"/>
        </w:rPr>
      </w:pPr>
      <w:r w:rsidRPr="008E0161">
        <w:rPr>
          <w:rFonts w:cs="Times New Roman"/>
          <w:b/>
          <w:sz w:val="24"/>
          <w:szCs w:val="24"/>
        </w:rPr>
        <w:t>RESPONSIBILITIES</w:t>
      </w:r>
    </w:p>
    <w:p w:rsidR="008E0161" w:rsidRDefault="008E0161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8E0161" w:rsidRPr="00EC09B8" w:rsidRDefault="008E0161" w:rsidP="00EC09B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EC09B8">
        <w:rPr>
          <w:rFonts w:cs="Times New Roman"/>
          <w:sz w:val="24"/>
          <w:szCs w:val="24"/>
        </w:rPr>
        <w:t xml:space="preserve">Act as a forum to facilitate and maintain effective communication and coordination between the Government of British Columbia and the post-secondary sector with respect to strategic planning and </w:t>
      </w:r>
      <w:r w:rsidR="0090396A">
        <w:rPr>
          <w:rFonts w:cs="Times New Roman"/>
          <w:sz w:val="24"/>
          <w:szCs w:val="24"/>
        </w:rPr>
        <w:t>policy</w:t>
      </w:r>
      <w:r w:rsidRPr="00EC09B8">
        <w:rPr>
          <w:rFonts w:cs="Times New Roman"/>
          <w:sz w:val="24"/>
          <w:szCs w:val="24"/>
        </w:rPr>
        <w:t xml:space="preserve"> for health sciences education in the province.</w:t>
      </w:r>
    </w:p>
    <w:p w:rsidR="008E0161" w:rsidRDefault="008E0161" w:rsidP="00EC09B8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304C13" w:rsidRPr="00EC09B8" w:rsidRDefault="001C3244" w:rsidP="00EC09B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EC09B8">
        <w:rPr>
          <w:rFonts w:cs="Times New Roman"/>
          <w:sz w:val="24"/>
          <w:szCs w:val="24"/>
        </w:rPr>
        <w:t xml:space="preserve">Identify and respond to strategic issues and emerging priorities </w:t>
      </w:r>
      <w:r w:rsidR="00304C13" w:rsidRPr="00EC09B8">
        <w:rPr>
          <w:rFonts w:cs="Times New Roman"/>
          <w:sz w:val="24"/>
          <w:szCs w:val="24"/>
        </w:rPr>
        <w:t xml:space="preserve">that impact </w:t>
      </w:r>
      <w:r w:rsidR="00EC09B8" w:rsidRPr="00EC09B8">
        <w:rPr>
          <w:rFonts w:cs="Times New Roman"/>
          <w:sz w:val="24"/>
          <w:szCs w:val="24"/>
        </w:rPr>
        <w:t xml:space="preserve">development, expansion and </w:t>
      </w:r>
      <w:r w:rsidR="00304C13" w:rsidRPr="00EC09B8">
        <w:rPr>
          <w:rFonts w:cs="Times New Roman"/>
          <w:sz w:val="24"/>
          <w:szCs w:val="24"/>
        </w:rPr>
        <w:t>sustainable delivery of health education programs</w:t>
      </w:r>
      <w:r w:rsidR="00EC09B8" w:rsidRPr="00EC09B8">
        <w:rPr>
          <w:rFonts w:cs="Times New Roman"/>
          <w:sz w:val="24"/>
          <w:szCs w:val="24"/>
        </w:rPr>
        <w:t xml:space="preserve">. </w:t>
      </w:r>
      <w:r w:rsidR="00304C13" w:rsidRPr="00EC09B8">
        <w:rPr>
          <w:rFonts w:cs="Times New Roman"/>
          <w:sz w:val="24"/>
          <w:szCs w:val="24"/>
        </w:rPr>
        <w:t xml:space="preserve"> </w:t>
      </w:r>
    </w:p>
    <w:p w:rsidR="00304C13" w:rsidRDefault="00304C13" w:rsidP="00EC09B8">
      <w:pPr>
        <w:spacing w:after="0" w:line="240" w:lineRule="auto"/>
        <w:ind w:left="360" w:hanging="360"/>
        <w:rPr>
          <w:rFonts w:cs="Times New Roman"/>
          <w:sz w:val="24"/>
          <w:szCs w:val="24"/>
        </w:rPr>
      </w:pPr>
    </w:p>
    <w:p w:rsidR="00304C13" w:rsidRPr="00EC09B8" w:rsidRDefault="00304C13" w:rsidP="00EC09B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 w:rsidRPr="00EC09B8">
        <w:rPr>
          <w:rFonts w:cs="Times New Roman"/>
          <w:sz w:val="24"/>
          <w:szCs w:val="24"/>
        </w:rPr>
        <w:t xml:space="preserve">Review and make recommendations on opportunities and challenges to coordinated provincial approaches </w:t>
      </w:r>
      <w:r w:rsidR="00EC09B8" w:rsidRPr="00EC09B8">
        <w:rPr>
          <w:rFonts w:cs="Times New Roman"/>
          <w:sz w:val="24"/>
          <w:szCs w:val="24"/>
        </w:rPr>
        <w:t xml:space="preserve">on key strategic issues impacting </w:t>
      </w:r>
      <w:r w:rsidRPr="00EC09B8">
        <w:rPr>
          <w:rFonts w:cs="Times New Roman"/>
          <w:sz w:val="24"/>
          <w:szCs w:val="24"/>
        </w:rPr>
        <w:t xml:space="preserve">alignment of health education and provincial health human resource priorities. </w:t>
      </w:r>
    </w:p>
    <w:p w:rsidR="00871D81" w:rsidRDefault="001C3244" w:rsidP="003E182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F15670" w:rsidRPr="00A06C1D" w:rsidRDefault="00F15670" w:rsidP="00F15670">
      <w:pPr>
        <w:spacing w:after="0" w:line="240" w:lineRule="auto"/>
        <w:rPr>
          <w:rFonts w:cs="Times New Roman"/>
          <w:b/>
          <w:sz w:val="24"/>
          <w:szCs w:val="24"/>
        </w:rPr>
      </w:pPr>
      <w:r w:rsidRPr="00A06C1D">
        <w:rPr>
          <w:rFonts w:cs="Times New Roman"/>
          <w:b/>
          <w:sz w:val="24"/>
          <w:szCs w:val="24"/>
        </w:rPr>
        <w:t>MEMBERSHIP</w:t>
      </w:r>
    </w:p>
    <w:p w:rsidR="001823A5" w:rsidRDefault="001823A5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F21482" w:rsidRDefault="00A06C1D" w:rsidP="00F156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 a reference </w:t>
      </w:r>
      <w:r w:rsidR="00F21482">
        <w:rPr>
          <w:rFonts w:cs="Times New Roman"/>
          <w:sz w:val="24"/>
          <w:szCs w:val="24"/>
        </w:rPr>
        <w:t>council</w:t>
      </w:r>
      <w:r>
        <w:rPr>
          <w:rFonts w:cs="Times New Roman"/>
          <w:sz w:val="24"/>
          <w:szCs w:val="24"/>
        </w:rPr>
        <w:t>, m</w:t>
      </w:r>
      <w:r w:rsidR="00F15670" w:rsidRPr="00A06C1D">
        <w:rPr>
          <w:rFonts w:cs="Times New Roman"/>
          <w:sz w:val="24"/>
          <w:szCs w:val="24"/>
        </w:rPr>
        <w:t>embers</w:t>
      </w:r>
      <w:r w:rsidR="00F21482">
        <w:rPr>
          <w:rFonts w:cs="Times New Roman"/>
          <w:sz w:val="24"/>
          <w:szCs w:val="24"/>
        </w:rPr>
        <w:t xml:space="preserve"> will </w:t>
      </w:r>
      <w:r w:rsidR="00C169F7">
        <w:rPr>
          <w:rFonts w:cs="Times New Roman"/>
          <w:sz w:val="24"/>
          <w:szCs w:val="24"/>
        </w:rPr>
        <w:t>be drawn from a</w:t>
      </w:r>
      <w:r w:rsidR="00F21482">
        <w:rPr>
          <w:rFonts w:cs="Times New Roman"/>
          <w:sz w:val="24"/>
          <w:szCs w:val="24"/>
        </w:rPr>
        <w:t xml:space="preserve"> range of health education disciplines, regional </w:t>
      </w:r>
      <w:r w:rsidR="00AE0E40">
        <w:rPr>
          <w:rFonts w:cs="Times New Roman"/>
          <w:sz w:val="24"/>
          <w:szCs w:val="24"/>
        </w:rPr>
        <w:t xml:space="preserve">interests and </w:t>
      </w:r>
      <w:r w:rsidR="00F21482">
        <w:rPr>
          <w:rFonts w:cs="Times New Roman"/>
          <w:sz w:val="24"/>
          <w:szCs w:val="24"/>
        </w:rPr>
        <w:t xml:space="preserve">provincial </w:t>
      </w:r>
      <w:r w:rsidR="00AE0E40">
        <w:rPr>
          <w:rFonts w:cs="Times New Roman"/>
          <w:sz w:val="24"/>
          <w:szCs w:val="24"/>
        </w:rPr>
        <w:t>priorities</w:t>
      </w:r>
      <w:r w:rsidR="00F21482">
        <w:rPr>
          <w:rFonts w:cs="Times New Roman"/>
          <w:sz w:val="24"/>
          <w:szCs w:val="24"/>
        </w:rPr>
        <w:t xml:space="preserve">.  Membership </w:t>
      </w:r>
      <w:r w:rsidR="00F15670" w:rsidRPr="00A06C1D">
        <w:rPr>
          <w:rFonts w:cs="Times New Roman"/>
          <w:sz w:val="24"/>
          <w:szCs w:val="24"/>
        </w:rPr>
        <w:t xml:space="preserve">will consist of representatives </w:t>
      </w:r>
      <w:r w:rsidR="003E1829" w:rsidRPr="00A06C1D">
        <w:rPr>
          <w:rFonts w:cs="Times New Roman"/>
          <w:sz w:val="24"/>
          <w:szCs w:val="24"/>
        </w:rPr>
        <w:t>from</w:t>
      </w:r>
      <w:r w:rsidR="00F15670" w:rsidRPr="00A06C1D">
        <w:rPr>
          <w:rFonts w:cs="Times New Roman"/>
          <w:sz w:val="24"/>
          <w:szCs w:val="24"/>
        </w:rPr>
        <w:t xml:space="preserve"> post-secondary institutions</w:t>
      </w:r>
      <w:r w:rsidR="003E1829" w:rsidRPr="00A06C1D">
        <w:rPr>
          <w:rFonts w:cs="Times New Roman"/>
          <w:sz w:val="24"/>
          <w:szCs w:val="24"/>
        </w:rPr>
        <w:t xml:space="preserve"> </w:t>
      </w:r>
      <w:r w:rsidR="00423AEC" w:rsidRPr="00A06C1D">
        <w:rPr>
          <w:rFonts w:cs="Times New Roman"/>
          <w:sz w:val="24"/>
          <w:szCs w:val="24"/>
        </w:rPr>
        <w:t xml:space="preserve">and/or sector groups, </w:t>
      </w:r>
      <w:r w:rsidR="003E1829" w:rsidRPr="00A06C1D">
        <w:rPr>
          <w:rFonts w:cs="Times New Roman"/>
          <w:sz w:val="24"/>
          <w:szCs w:val="24"/>
        </w:rPr>
        <w:t xml:space="preserve">who </w:t>
      </w:r>
      <w:r w:rsidR="00F21482" w:rsidRPr="00FA221F">
        <w:rPr>
          <w:rFonts w:cs="Times New Roman"/>
          <w:sz w:val="24"/>
          <w:szCs w:val="24"/>
        </w:rPr>
        <w:t xml:space="preserve">accept the responsibility to balance the interests of the diverse ranges of health education stakeholders, and through consultation, </w:t>
      </w:r>
      <w:r w:rsidR="00BF4B9E" w:rsidRPr="00FA221F">
        <w:rPr>
          <w:rFonts w:cs="Times New Roman"/>
          <w:sz w:val="24"/>
          <w:szCs w:val="24"/>
        </w:rPr>
        <w:t xml:space="preserve">have the capacity and interest to comment on, respond to, and relay information on issues raised up to, </w:t>
      </w:r>
      <w:r w:rsidR="00871D81" w:rsidRPr="00FA221F">
        <w:rPr>
          <w:rFonts w:cs="Times New Roman"/>
          <w:sz w:val="24"/>
          <w:szCs w:val="24"/>
        </w:rPr>
        <w:t xml:space="preserve">by, </w:t>
      </w:r>
      <w:r w:rsidR="00BF4B9E" w:rsidRPr="00FA221F">
        <w:rPr>
          <w:rFonts w:cs="Times New Roman"/>
          <w:sz w:val="24"/>
          <w:szCs w:val="24"/>
        </w:rPr>
        <w:t xml:space="preserve">and through the </w:t>
      </w:r>
      <w:r w:rsidR="00AE0E40" w:rsidRPr="00FA221F">
        <w:rPr>
          <w:rFonts w:cs="Times New Roman"/>
          <w:sz w:val="24"/>
          <w:szCs w:val="24"/>
        </w:rPr>
        <w:t>reference council</w:t>
      </w:r>
      <w:r w:rsidR="00BF4B9E" w:rsidRPr="00FA221F">
        <w:rPr>
          <w:rFonts w:cs="Times New Roman"/>
          <w:sz w:val="24"/>
          <w:szCs w:val="24"/>
        </w:rPr>
        <w:t>.</w:t>
      </w:r>
      <w:r w:rsidR="00C169F7">
        <w:rPr>
          <w:rFonts w:cs="Times New Roman"/>
          <w:sz w:val="24"/>
          <w:szCs w:val="24"/>
        </w:rPr>
        <w:t xml:space="preserve"> More important than members</w:t>
      </w:r>
      <w:r w:rsidR="00C15473">
        <w:rPr>
          <w:rFonts w:cs="Times New Roman"/>
          <w:sz w:val="24"/>
          <w:szCs w:val="24"/>
        </w:rPr>
        <w:t>’</w:t>
      </w:r>
      <w:r w:rsidR="00C169F7">
        <w:rPr>
          <w:rFonts w:cs="Times New Roman"/>
          <w:sz w:val="24"/>
          <w:szCs w:val="24"/>
        </w:rPr>
        <w:t xml:space="preserve"> ability to speak to every issue that may arise is their </w:t>
      </w:r>
      <w:r w:rsidR="00C15473">
        <w:rPr>
          <w:rFonts w:cs="Times New Roman"/>
          <w:sz w:val="24"/>
          <w:szCs w:val="24"/>
        </w:rPr>
        <w:t>skill at connecting people who should be part of the conversation.</w:t>
      </w:r>
    </w:p>
    <w:p w:rsidR="00F21482" w:rsidRDefault="00F21482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F15670" w:rsidRPr="00A06C1D" w:rsidRDefault="00BF4B9E" w:rsidP="00F156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Members will be selected by the</w:t>
      </w:r>
      <w:r w:rsidR="00530071">
        <w:rPr>
          <w:rFonts w:cs="Times New Roman"/>
          <w:sz w:val="24"/>
          <w:szCs w:val="24"/>
        </w:rPr>
        <w:t xml:space="preserve">ir respective stakeholder </w:t>
      </w:r>
      <w:r>
        <w:rPr>
          <w:rFonts w:cs="Times New Roman"/>
          <w:sz w:val="24"/>
          <w:szCs w:val="24"/>
        </w:rPr>
        <w:t>organ</w:t>
      </w:r>
      <w:r w:rsidR="00530071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z</w:t>
      </w:r>
      <w:r w:rsidR="00530071">
        <w:rPr>
          <w:rFonts w:cs="Times New Roman"/>
          <w:sz w:val="24"/>
          <w:szCs w:val="24"/>
        </w:rPr>
        <w:t>ation.</w:t>
      </w:r>
      <w:r w:rsidR="00C15473">
        <w:rPr>
          <w:rFonts w:cs="Times New Roman"/>
          <w:sz w:val="24"/>
          <w:szCs w:val="24"/>
        </w:rPr>
        <w:t xml:space="preserve">  Membership is expected to rotate every two years on a staggered schedule.</w:t>
      </w:r>
      <w:r w:rsidR="00530071">
        <w:rPr>
          <w:rFonts w:cs="Times New Roman"/>
          <w:sz w:val="24"/>
          <w:szCs w:val="24"/>
        </w:rPr>
        <w:t xml:space="preserve">  </w:t>
      </w:r>
      <w:r w:rsidR="003B4509" w:rsidRPr="00A06C1D">
        <w:rPr>
          <w:rFonts w:cs="Times New Roman"/>
          <w:sz w:val="24"/>
          <w:szCs w:val="24"/>
        </w:rPr>
        <w:t xml:space="preserve">The initial membership will consist of one </w:t>
      </w:r>
      <w:r w:rsidR="003E1829" w:rsidRPr="00A06C1D">
        <w:rPr>
          <w:rFonts w:cs="Times New Roman"/>
          <w:sz w:val="24"/>
          <w:szCs w:val="24"/>
        </w:rPr>
        <w:t>representative</w:t>
      </w:r>
      <w:r w:rsidR="003B4509" w:rsidRPr="00A06C1D">
        <w:rPr>
          <w:rFonts w:cs="Times New Roman"/>
          <w:sz w:val="24"/>
          <w:szCs w:val="24"/>
        </w:rPr>
        <w:t xml:space="preserve"> from the following:</w:t>
      </w:r>
    </w:p>
    <w:p w:rsidR="003B4509" w:rsidRPr="00A06C1D" w:rsidRDefault="003B4509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3B4509" w:rsidRPr="00A06C1D" w:rsidRDefault="003B4509" w:rsidP="00EA1C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>Ministry of Advanced Education</w:t>
      </w:r>
      <w:r w:rsidR="00423AEC" w:rsidRPr="00A06C1D">
        <w:rPr>
          <w:rFonts w:cs="Times New Roman"/>
          <w:sz w:val="24"/>
          <w:szCs w:val="24"/>
        </w:rPr>
        <w:t>, Skills and Training</w:t>
      </w:r>
      <w:r w:rsidRPr="00A06C1D">
        <w:rPr>
          <w:rFonts w:cs="Times New Roman"/>
          <w:sz w:val="24"/>
          <w:szCs w:val="24"/>
        </w:rPr>
        <w:t xml:space="preserve"> </w:t>
      </w:r>
      <w:r w:rsidR="00423AEC" w:rsidRPr="00A06C1D">
        <w:rPr>
          <w:rFonts w:cs="Times New Roman"/>
          <w:sz w:val="24"/>
          <w:szCs w:val="24"/>
        </w:rPr>
        <w:t>(</w:t>
      </w:r>
      <w:r w:rsidRPr="00A06C1D">
        <w:rPr>
          <w:rFonts w:cs="Times New Roman"/>
          <w:sz w:val="24"/>
          <w:szCs w:val="24"/>
        </w:rPr>
        <w:t>Chair)</w:t>
      </w:r>
    </w:p>
    <w:p w:rsidR="003B4509" w:rsidRPr="00A06C1D" w:rsidRDefault="003B4509" w:rsidP="00EA1C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>U</w:t>
      </w:r>
      <w:r w:rsidR="000A4372" w:rsidRPr="00A06C1D">
        <w:rPr>
          <w:rFonts w:cs="Times New Roman"/>
          <w:sz w:val="24"/>
          <w:szCs w:val="24"/>
        </w:rPr>
        <w:t xml:space="preserve">niversity of </w:t>
      </w:r>
      <w:r w:rsidRPr="00A06C1D">
        <w:rPr>
          <w:rFonts w:cs="Times New Roman"/>
          <w:sz w:val="24"/>
          <w:szCs w:val="24"/>
        </w:rPr>
        <w:t>B</w:t>
      </w:r>
      <w:r w:rsidR="000A4372" w:rsidRPr="00A06C1D">
        <w:rPr>
          <w:rFonts w:cs="Times New Roman"/>
          <w:sz w:val="24"/>
          <w:szCs w:val="24"/>
        </w:rPr>
        <w:t xml:space="preserve">ritish </w:t>
      </w:r>
      <w:r w:rsidRPr="00A06C1D">
        <w:rPr>
          <w:rFonts w:cs="Times New Roman"/>
          <w:sz w:val="24"/>
          <w:szCs w:val="24"/>
        </w:rPr>
        <w:t>C</w:t>
      </w:r>
      <w:r w:rsidR="000A4372" w:rsidRPr="00A06C1D">
        <w:rPr>
          <w:rFonts w:cs="Times New Roman"/>
          <w:sz w:val="24"/>
          <w:szCs w:val="24"/>
        </w:rPr>
        <w:t>olumbia</w:t>
      </w:r>
      <w:r w:rsidR="003E1829" w:rsidRPr="00A06C1D">
        <w:rPr>
          <w:rFonts w:cs="Times New Roman"/>
          <w:sz w:val="24"/>
          <w:szCs w:val="24"/>
        </w:rPr>
        <w:t xml:space="preserve"> </w:t>
      </w:r>
      <w:r w:rsidR="000A4372" w:rsidRPr="00A06C1D">
        <w:rPr>
          <w:rFonts w:cs="Times New Roman"/>
          <w:sz w:val="24"/>
          <w:szCs w:val="24"/>
        </w:rPr>
        <w:t>Health</w:t>
      </w:r>
      <w:r w:rsidR="00423AEC" w:rsidRPr="00A06C1D">
        <w:rPr>
          <w:rFonts w:cs="Times New Roman"/>
          <w:sz w:val="24"/>
          <w:szCs w:val="24"/>
        </w:rPr>
        <w:t xml:space="preserve"> </w:t>
      </w:r>
    </w:p>
    <w:p w:rsidR="00423AEC" w:rsidRPr="00A06C1D" w:rsidRDefault="00423AEC" w:rsidP="00EA1C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>British Columbia Institute of Technology</w:t>
      </w:r>
      <w:r w:rsidR="004E5F3A">
        <w:rPr>
          <w:rStyle w:val="FootnoteReference"/>
          <w:rFonts w:cs="Times New Roman"/>
          <w:sz w:val="24"/>
          <w:szCs w:val="24"/>
        </w:rPr>
        <w:footnoteReference w:id="1"/>
      </w:r>
      <w:r w:rsidRPr="00A06C1D">
        <w:rPr>
          <w:rFonts w:cs="Times New Roman"/>
          <w:sz w:val="24"/>
          <w:szCs w:val="24"/>
        </w:rPr>
        <w:t xml:space="preserve"> </w:t>
      </w:r>
    </w:p>
    <w:p w:rsidR="008E0161" w:rsidRPr="00C15473" w:rsidRDefault="00423AEC" w:rsidP="00C15473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 xml:space="preserve">Nursing Education Council of BC </w:t>
      </w:r>
    </w:p>
    <w:p w:rsidR="005C3D04" w:rsidRPr="00A06C1D" w:rsidRDefault="00C15473" w:rsidP="00EA1CD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Committee of Health Sciences Deans and Directors </w:t>
      </w:r>
      <w:r w:rsidR="00423AEC" w:rsidRPr="00A06C1D">
        <w:rPr>
          <w:rFonts w:cs="Times New Roman"/>
          <w:sz w:val="24"/>
          <w:szCs w:val="24"/>
        </w:rPr>
        <w:t>(</w:t>
      </w:r>
      <w:r w:rsidR="004E5F3A">
        <w:rPr>
          <w:rFonts w:cs="Times New Roman"/>
          <w:sz w:val="24"/>
          <w:szCs w:val="24"/>
        </w:rPr>
        <w:t>4</w:t>
      </w:r>
      <w:r w:rsidR="00E22818">
        <w:rPr>
          <w:rFonts w:cs="Times New Roman"/>
          <w:sz w:val="24"/>
          <w:szCs w:val="24"/>
        </w:rPr>
        <w:t xml:space="preserve"> representatives, with consideration of regional and urban/rural perspectives</w:t>
      </w:r>
      <w:r w:rsidR="00423AEC" w:rsidRPr="00A06C1D">
        <w:rPr>
          <w:rFonts w:cs="Times New Roman"/>
          <w:sz w:val="24"/>
          <w:szCs w:val="24"/>
        </w:rPr>
        <w:t>)</w:t>
      </w:r>
    </w:p>
    <w:p w:rsidR="005C3D04" w:rsidRPr="00A06C1D" w:rsidRDefault="005C3D04" w:rsidP="008563BD">
      <w:pPr>
        <w:spacing w:after="0" w:line="240" w:lineRule="auto"/>
        <w:rPr>
          <w:rFonts w:cs="Times New Roman"/>
          <w:sz w:val="24"/>
          <w:szCs w:val="24"/>
        </w:rPr>
      </w:pPr>
    </w:p>
    <w:p w:rsidR="008563BD" w:rsidRDefault="00A63E01" w:rsidP="008563BD">
      <w:pPr>
        <w:spacing w:after="0" w:line="240" w:lineRule="auto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 xml:space="preserve">The </w:t>
      </w:r>
      <w:r w:rsidR="00423AEC" w:rsidRPr="00A06C1D">
        <w:rPr>
          <w:rFonts w:cs="Times New Roman"/>
          <w:sz w:val="24"/>
          <w:szCs w:val="24"/>
        </w:rPr>
        <w:t>HERC</w:t>
      </w:r>
      <w:r w:rsidR="000A3776" w:rsidRPr="00A06C1D">
        <w:rPr>
          <w:rFonts w:cs="Times New Roman"/>
          <w:sz w:val="24"/>
          <w:szCs w:val="24"/>
        </w:rPr>
        <w:t xml:space="preserve"> </w:t>
      </w:r>
      <w:r w:rsidR="008563BD" w:rsidRPr="00A06C1D">
        <w:rPr>
          <w:rFonts w:cs="Times New Roman"/>
          <w:sz w:val="24"/>
          <w:szCs w:val="24"/>
        </w:rPr>
        <w:t xml:space="preserve">may, from time to time, benefit from participation of </w:t>
      </w:r>
      <w:r w:rsidR="00AE0E40">
        <w:rPr>
          <w:rFonts w:cs="Times New Roman"/>
          <w:sz w:val="24"/>
          <w:szCs w:val="24"/>
        </w:rPr>
        <w:t>additional representation</w:t>
      </w:r>
      <w:r w:rsidR="003549DF" w:rsidRPr="00A06C1D">
        <w:rPr>
          <w:rFonts w:cs="Times New Roman"/>
          <w:sz w:val="24"/>
          <w:szCs w:val="24"/>
        </w:rPr>
        <w:t xml:space="preserve">, such as </w:t>
      </w:r>
      <w:r w:rsidR="00E22818">
        <w:rPr>
          <w:rFonts w:cs="Times New Roman"/>
          <w:sz w:val="24"/>
          <w:szCs w:val="24"/>
        </w:rPr>
        <w:t xml:space="preserve">students, </w:t>
      </w:r>
      <w:r w:rsidR="003549DF" w:rsidRPr="00A06C1D">
        <w:rPr>
          <w:rFonts w:cs="Times New Roman"/>
          <w:sz w:val="24"/>
          <w:szCs w:val="24"/>
        </w:rPr>
        <w:t xml:space="preserve">regulatory colleges, unions, post-secondary sector associations, </w:t>
      </w:r>
      <w:r w:rsidR="00423AEC" w:rsidRPr="00A06C1D">
        <w:rPr>
          <w:rFonts w:cs="Times New Roman"/>
          <w:sz w:val="24"/>
          <w:szCs w:val="24"/>
        </w:rPr>
        <w:t xml:space="preserve">health authorities, </w:t>
      </w:r>
      <w:r w:rsidR="003549DF" w:rsidRPr="00A06C1D">
        <w:rPr>
          <w:rFonts w:cs="Times New Roman"/>
          <w:sz w:val="24"/>
          <w:szCs w:val="24"/>
        </w:rPr>
        <w:t>etc</w:t>
      </w:r>
      <w:r w:rsidR="008563BD" w:rsidRPr="00A06C1D">
        <w:rPr>
          <w:rFonts w:cs="Times New Roman"/>
          <w:sz w:val="24"/>
          <w:szCs w:val="24"/>
        </w:rPr>
        <w:t xml:space="preserve">. Such invitations </w:t>
      </w:r>
      <w:r w:rsidR="003549DF" w:rsidRPr="00A06C1D">
        <w:rPr>
          <w:rFonts w:cs="Times New Roman"/>
          <w:sz w:val="24"/>
          <w:szCs w:val="24"/>
        </w:rPr>
        <w:t>will be</w:t>
      </w:r>
      <w:r w:rsidR="008563BD" w:rsidRPr="00A06C1D">
        <w:rPr>
          <w:rFonts w:cs="Times New Roman"/>
          <w:sz w:val="24"/>
          <w:szCs w:val="24"/>
        </w:rPr>
        <w:t xml:space="preserve"> at the discretion of the </w:t>
      </w:r>
      <w:r w:rsidR="00687D4E" w:rsidRPr="00A06C1D">
        <w:rPr>
          <w:rFonts w:cs="Times New Roman"/>
          <w:sz w:val="24"/>
          <w:szCs w:val="24"/>
        </w:rPr>
        <w:t>C</w:t>
      </w:r>
      <w:r w:rsidR="008563BD" w:rsidRPr="00A06C1D">
        <w:rPr>
          <w:rFonts w:cs="Times New Roman"/>
          <w:sz w:val="24"/>
          <w:szCs w:val="24"/>
        </w:rPr>
        <w:t xml:space="preserve">hair. </w:t>
      </w:r>
    </w:p>
    <w:p w:rsidR="001823A5" w:rsidRDefault="001823A5" w:rsidP="008563BD">
      <w:pPr>
        <w:spacing w:after="0" w:line="240" w:lineRule="auto"/>
        <w:rPr>
          <w:rFonts w:cs="Times New Roman"/>
          <w:sz w:val="24"/>
          <w:szCs w:val="24"/>
        </w:rPr>
      </w:pPr>
    </w:p>
    <w:p w:rsidR="001823A5" w:rsidRDefault="001823A5" w:rsidP="008563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Ministry of Advanced Education, S</w:t>
      </w:r>
      <w:r w:rsidR="00AE0E40">
        <w:rPr>
          <w:rFonts w:cs="Times New Roman"/>
          <w:sz w:val="24"/>
          <w:szCs w:val="24"/>
        </w:rPr>
        <w:t>kills and Training will act as S</w:t>
      </w:r>
      <w:r>
        <w:rPr>
          <w:rFonts w:cs="Times New Roman"/>
          <w:sz w:val="24"/>
          <w:szCs w:val="24"/>
        </w:rPr>
        <w:t xml:space="preserve">ecretariat. </w:t>
      </w:r>
    </w:p>
    <w:p w:rsidR="00787963" w:rsidRDefault="00787963" w:rsidP="00F15670">
      <w:pPr>
        <w:spacing w:after="0" w:line="240" w:lineRule="auto"/>
        <w:rPr>
          <w:rFonts w:cs="Times New Roman"/>
          <w:sz w:val="24"/>
          <w:szCs w:val="24"/>
        </w:rPr>
      </w:pPr>
    </w:p>
    <w:p w:rsidR="00BF4B9E" w:rsidRDefault="00F96137" w:rsidP="00BF4B9E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GOVERNANCE AND REPORTING</w:t>
      </w:r>
    </w:p>
    <w:p w:rsidR="00E55C06" w:rsidRDefault="00E55C06" w:rsidP="00BF4B9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A5AA8" w:rsidRDefault="00E55C06" w:rsidP="001A5A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HERC </w:t>
      </w:r>
      <w:r w:rsidR="00FC0BD6">
        <w:rPr>
          <w:rFonts w:cs="Times New Roman"/>
          <w:sz w:val="24"/>
          <w:szCs w:val="24"/>
        </w:rPr>
        <w:t xml:space="preserve">will be </w:t>
      </w:r>
      <w:r w:rsidR="001A5AA8">
        <w:rPr>
          <w:rFonts w:cs="Times New Roman"/>
          <w:sz w:val="24"/>
          <w:szCs w:val="24"/>
        </w:rPr>
        <w:t xml:space="preserve">chaired by AEST and will report </w:t>
      </w:r>
      <w:r w:rsidR="00C15473">
        <w:rPr>
          <w:rFonts w:cs="Times New Roman"/>
          <w:sz w:val="24"/>
          <w:szCs w:val="24"/>
        </w:rPr>
        <w:t xml:space="preserve">as requested </w:t>
      </w:r>
      <w:r w:rsidR="001A5AA8">
        <w:rPr>
          <w:rFonts w:cs="Times New Roman"/>
          <w:sz w:val="24"/>
          <w:szCs w:val="24"/>
        </w:rPr>
        <w:t xml:space="preserve">to the Planning Board for Health and Medical Education – a joint committee of the Ministry of Advanced Education, Skills and Training and Ministry of Health. </w:t>
      </w:r>
    </w:p>
    <w:p w:rsidR="001A5AA8" w:rsidRDefault="001A5AA8" w:rsidP="001A5AA8">
      <w:pPr>
        <w:spacing w:after="0" w:line="240" w:lineRule="auto"/>
        <w:rPr>
          <w:rFonts w:cs="Times New Roman"/>
          <w:sz w:val="24"/>
          <w:szCs w:val="24"/>
        </w:rPr>
      </w:pPr>
    </w:p>
    <w:p w:rsidR="001A5AA8" w:rsidRDefault="001A5AA8" w:rsidP="001A5A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HERC operates through consensus, with opportunity to engage and receive input from all participating members. Final approval for recommendations</w:t>
      </w:r>
      <w:r w:rsidR="00E22818">
        <w:rPr>
          <w:rFonts w:cs="Times New Roman"/>
          <w:sz w:val="24"/>
          <w:szCs w:val="24"/>
        </w:rPr>
        <w:t>, as required,</w:t>
      </w:r>
      <w:r>
        <w:rPr>
          <w:rFonts w:cs="Times New Roman"/>
          <w:sz w:val="24"/>
          <w:szCs w:val="24"/>
        </w:rPr>
        <w:t xml:space="preserve"> will be the responsibility of the chair.</w:t>
      </w:r>
    </w:p>
    <w:p w:rsidR="00E55C06" w:rsidRDefault="00E55C06" w:rsidP="00BF4B9E">
      <w:pPr>
        <w:spacing w:after="0" w:line="240" w:lineRule="auto"/>
        <w:rPr>
          <w:rFonts w:cs="Times New Roman"/>
          <w:sz w:val="24"/>
          <w:szCs w:val="24"/>
        </w:rPr>
      </w:pPr>
    </w:p>
    <w:p w:rsidR="00E55C06" w:rsidRPr="00DE0F66" w:rsidRDefault="00E55C06" w:rsidP="00BF4B9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HERC may establish working groups to address areas of concern and specific time-limited issues.</w:t>
      </w:r>
    </w:p>
    <w:p w:rsidR="00E55C06" w:rsidRDefault="00E55C06" w:rsidP="00BF4B9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55C06" w:rsidRPr="00A06C1D" w:rsidRDefault="00E55C06" w:rsidP="00BF4B9E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MEETINGS</w:t>
      </w:r>
      <w:r w:rsidR="00DE0F66">
        <w:rPr>
          <w:rFonts w:cs="Times New Roman"/>
          <w:b/>
          <w:sz w:val="24"/>
          <w:szCs w:val="24"/>
        </w:rPr>
        <w:t xml:space="preserve"> AND ADMINISTRATION</w:t>
      </w:r>
    </w:p>
    <w:p w:rsidR="00F7242D" w:rsidRDefault="00F7242D" w:rsidP="00BF4B9E">
      <w:pPr>
        <w:pStyle w:val="Default"/>
        <w:rPr>
          <w:rFonts w:asciiTheme="minorHAnsi" w:hAnsiTheme="minorHAnsi" w:cs="Times New Roman"/>
        </w:rPr>
      </w:pPr>
    </w:p>
    <w:p w:rsidR="00BF4B9E" w:rsidRPr="00A06C1D" w:rsidRDefault="00BF4B9E" w:rsidP="00BF4B9E">
      <w:pPr>
        <w:pStyle w:val="Default"/>
        <w:rPr>
          <w:rFonts w:asciiTheme="minorHAnsi" w:hAnsiTheme="minorHAnsi" w:cs="Calibri"/>
        </w:rPr>
      </w:pPr>
      <w:r w:rsidRPr="00A06C1D">
        <w:rPr>
          <w:rFonts w:asciiTheme="minorHAnsi" w:hAnsiTheme="minorHAnsi" w:cs="Times New Roman"/>
        </w:rPr>
        <w:t xml:space="preserve">Meetings will occur </w:t>
      </w:r>
      <w:r w:rsidR="00F7242D">
        <w:rPr>
          <w:rFonts w:asciiTheme="minorHAnsi" w:hAnsiTheme="minorHAnsi" w:cs="Times New Roman"/>
        </w:rPr>
        <w:t>t</w:t>
      </w:r>
      <w:r w:rsidR="004E5F3A">
        <w:rPr>
          <w:rFonts w:asciiTheme="minorHAnsi" w:hAnsiTheme="minorHAnsi" w:cs="Times New Roman"/>
        </w:rPr>
        <w:t>hree times</w:t>
      </w:r>
      <w:r w:rsidR="00F7242D">
        <w:rPr>
          <w:rFonts w:asciiTheme="minorHAnsi" w:hAnsiTheme="minorHAnsi" w:cs="Times New Roman"/>
        </w:rPr>
        <w:t xml:space="preserve"> per year or as needed </w:t>
      </w:r>
      <w:r w:rsidRPr="00A06C1D">
        <w:rPr>
          <w:rFonts w:asciiTheme="minorHAnsi" w:hAnsiTheme="minorHAnsi" w:cs="Times New Roman"/>
        </w:rPr>
        <w:t>and will normally be scheduled for two hours</w:t>
      </w:r>
      <w:r w:rsidRPr="00A06C1D">
        <w:rPr>
          <w:rFonts w:asciiTheme="minorHAnsi" w:hAnsiTheme="minorHAnsi" w:cs="Calibri"/>
        </w:rPr>
        <w:t>.</w:t>
      </w:r>
      <w:r w:rsidRPr="00A06C1D">
        <w:rPr>
          <w:rFonts w:asciiTheme="minorHAnsi" w:hAnsiTheme="minorHAnsi" w:cs="Times New Roman"/>
        </w:rPr>
        <w:t xml:space="preserve"> </w:t>
      </w:r>
      <w:r w:rsidR="0090396A">
        <w:rPr>
          <w:rFonts w:asciiTheme="minorHAnsi" w:hAnsiTheme="minorHAnsi" w:cs="Times New Roman"/>
        </w:rPr>
        <w:t xml:space="preserve">The Chair may also occasionally request input from the members via email or short teleconference on emerging or time-sensitive issues. </w:t>
      </w:r>
    </w:p>
    <w:p w:rsidR="00BF4B9E" w:rsidRPr="00A06C1D" w:rsidRDefault="00BF4B9E" w:rsidP="00BF4B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F4B9E" w:rsidRPr="00A06C1D" w:rsidRDefault="00BF4B9E" w:rsidP="00BF4B9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06C1D">
        <w:rPr>
          <w:rFonts w:cs="Times New Roman"/>
          <w:sz w:val="24"/>
          <w:szCs w:val="24"/>
        </w:rPr>
        <w:t>All meetings will have either videoconferencing or teleconferencing options available.</w:t>
      </w:r>
    </w:p>
    <w:p w:rsidR="00BF4B9E" w:rsidRPr="00A06C1D" w:rsidRDefault="00BF4B9E" w:rsidP="00BF4B9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06C1D">
        <w:rPr>
          <w:rFonts w:cs="Times New Roman"/>
          <w:sz w:val="24"/>
          <w:szCs w:val="24"/>
        </w:rPr>
        <w:t xml:space="preserve">Cost to members to participate will be covered by their organization. </w:t>
      </w:r>
    </w:p>
    <w:p w:rsidR="00BF4B9E" w:rsidRPr="00A06C1D" w:rsidRDefault="00BF4B9E" w:rsidP="00BF4B9E">
      <w:pPr>
        <w:spacing w:after="0" w:line="240" w:lineRule="auto"/>
      </w:pPr>
    </w:p>
    <w:p w:rsidR="00BF4B9E" w:rsidRPr="00A06C1D" w:rsidRDefault="00BF4B9E" w:rsidP="00BF4B9E">
      <w:pPr>
        <w:spacing w:after="0" w:line="240" w:lineRule="auto"/>
        <w:rPr>
          <w:rFonts w:cs="Times New Roman"/>
          <w:b/>
          <w:sz w:val="24"/>
          <w:szCs w:val="24"/>
        </w:rPr>
      </w:pPr>
      <w:r w:rsidRPr="00A06C1D">
        <w:rPr>
          <w:rFonts w:cs="Times New Roman"/>
          <w:b/>
          <w:sz w:val="24"/>
          <w:szCs w:val="24"/>
        </w:rPr>
        <w:t xml:space="preserve">ALTERNATES </w:t>
      </w:r>
    </w:p>
    <w:p w:rsidR="00F7242D" w:rsidRDefault="00F7242D" w:rsidP="00BF4B9E">
      <w:pPr>
        <w:spacing w:after="0" w:line="240" w:lineRule="auto"/>
        <w:rPr>
          <w:rFonts w:cs="Times New Roman"/>
          <w:sz w:val="24"/>
          <w:szCs w:val="24"/>
        </w:rPr>
      </w:pPr>
    </w:p>
    <w:p w:rsidR="00BF4B9E" w:rsidRPr="00A06C1D" w:rsidRDefault="00871D81" w:rsidP="00BF4B9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Participating organizations may </w:t>
      </w:r>
      <w:r w:rsidR="00BF4B9E" w:rsidRPr="00A06C1D">
        <w:rPr>
          <w:rFonts w:cs="Times New Roman"/>
          <w:sz w:val="24"/>
          <w:szCs w:val="24"/>
        </w:rPr>
        <w:t>appoint an alternate</w:t>
      </w:r>
      <w:r>
        <w:rPr>
          <w:rFonts w:cs="Times New Roman"/>
          <w:sz w:val="24"/>
          <w:szCs w:val="24"/>
        </w:rPr>
        <w:t xml:space="preserve"> if required</w:t>
      </w:r>
      <w:r w:rsidR="00C15473">
        <w:rPr>
          <w:rFonts w:cs="Times New Roman"/>
          <w:sz w:val="24"/>
          <w:szCs w:val="24"/>
        </w:rPr>
        <w:t xml:space="preserve">, or if that individual is better-placed to speak to the </w:t>
      </w:r>
      <w:r w:rsidR="0090396A">
        <w:rPr>
          <w:rFonts w:cs="Times New Roman"/>
          <w:sz w:val="24"/>
          <w:szCs w:val="24"/>
        </w:rPr>
        <w:t xml:space="preserve">particular </w:t>
      </w:r>
      <w:r w:rsidR="00C15473">
        <w:rPr>
          <w:rFonts w:cs="Times New Roman"/>
          <w:sz w:val="24"/>
          <w:szCs w:val="24"/>
        </w:rPr>
        <w:t>issue(s) being discussed</w:t>
      </w:r>
      <w:r w:rsidR="00BF4B9E" w:rsidRPr="00A06C1D">
        <w:rPr>
          <w:rFonts w:cs="Times New Roman"/>
          <w:sz w:val="24"/>
          <w:szCs w:val="24"/>
        </w:rPr>
        <w:t>. The member and the alternate are responsible for relaying information between one another</w:t>
      </w:r>
      <w:r w:rsidR="00E22818">
        <w:rPr>
          <w:rFonts w:cs="Times New Roman"/>
          <w:sz w:val="24"/>
          <w:szCs w:val="24"/>
        </w:rPr>
        <w:t xml:space="preserve"> and, as needed, with the group they represent</w:t>
      </w:r>
      <w:r w:rsidR="00BF4B9E" w:rsidRPr="00A06C1D">
        <w:rPr>
          <w:rFonts w:cs="Times New Roman"/>
          <w:sz w:val="24"/>
          <w:szCs w:val="24"/>
        </w:rPr>
        <w:t xml:space="preserve">. </w:t>
      </w:r>
    </w:p>
    <w:p w:rsidR="00BF4B9E" w:rsidRPr="00A06C1D" w:rsidRDefault="00BF4B9E" w:rsidP="00F15670">
      <w:pPr>
        <w:spacing w:after="0" w:line="240" w:lineRule="auto"/>
        <w:rPr>
          <w:rFonts w:cs="Times New Roman"/>
          <w:sz w:val="24"/>
          <w:szCs w:val="24"/>
        </w:rPr>
      </w:pPr>
    </w:p>
    <w:sectPr w:rsidR="00BF4B9E" w:rsidRPr="00A06C1D" w:rsidSect="007402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B7" w:rsidRDefault="00CC70B7" w:rsidP="0074028E">
      <w:pPr>
        <w:spacing w:after="0" w:line="240" w:lineRule="auto"/>
      </w:pPr>
      <w:r>
        <w:separator/>
      </w:r>
    </w:p>
  </w:endnote>
  <w:endnote w:type="continuationSeparator" w:id="0">
    <w:p w:rsidR="00CC70B7" w:rsidRDefault="00CC70B7" w:rsidP="007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B" w:rsidRDefault="00425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33" w:rsidRDefault="00534EE4">
    <w:pPr>
      <w:pStyle w:val="Footer"/>
    </w:pPr>
    <w:r>
      <w:t>September 4</w:t>
    </w:r>
    <w:r w:rsidR="000A1E33">
      <w:t>, 2019</w:t>
    </w:r>
    <w:r w:rsidR="000A1E33">
      <w:ptab w:relativeTo="margin" w:alignment="center" w:leader="none"/>
    </w:r>
    <w:r w:rsidR="000A1E33">
      <w:t>DRAFT – FOR DISCUSSION</w:t>
    </w:r>
    <w:r w:rsidR="000A1E33">
      <w:ptab w:relativeTo="margin" w:alignment="right" w:leader="none"/>
    </w:r>
    <w:r w:rsidR="000A1E33">
      <w:fldChar w:fldCharType="begin"/>
    </w:r>
    <w:r w:rsidR="000A1E33">
      <w:instrText xml:space="preserve"> PAGE   \* MERGEFORMAT </w:instrText>
    </w:r>
    <w:r w:rsidR="000A1E33">
      <w:fldChar w:fldCharType="separate"/>
    </w:r>
    <w:r w:rsidR="004250BB">
      <w:rPr>
        <w:noProof/>
      </w:rPr>
      <w:t>3</w:t>
    </w:r>
    <w:r w:rsidR="000A1E3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920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CF8" w:rsidRDefault="00AC1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E40" w:rsidRDefault="00AE0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B7" w:rsidRDefault="00CC70B7" w:rsidP="0074028E">
      <w:pPr>
        <w:spacing w:after="0" w:line="240" w:lineRule="auto"/>
      </w:pPr>
      <w:r>
        <w:separator/>
      </w:r>
    </w:p>
  </w:footnote>
  <w:footnote w:type="continuationSeparator" w:id="0">
    <w:p w:rsidR="00CC70B7" w:rsidRDefault="00CC70B7" w:rsidP="0074028E">
      <w:pPr>
        <w:spacing w:after="0" w:line="240" w:lineRule="auto"/>
      </w:pPr>
      <w:r>
        <w:continuationSeparator/>
      </w:r>
    </w:p>
  </w:footnote>
  <w:footnote w:id="1">
    <w:p w:rsidR="004E5F3A" w:rsidRDefault="004E5F3A">
      <w:pPr>
        <w:pStyle w:val="FootnoteText"/>
      </w:pPr>
      <w:r>
        <w:rPr>
          <w:rStyle w:val="FootnoteReference"/>
        </w:rPr>
        <w:footnoteRef/>
      </w:r>
      <w:r>
        <w:t xml:space="preserve"> UBC and BCIT have permanent membership on the HERC based on the size and breadth of their health and medical education programs.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B" w:rsidRDefault="00425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B" w:rsidRDefault="00425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40" w:rsidRDefault="00CC70B7" w:rsidP="00AE0E4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sdt>
      <w:sdtPr>
        <w:rPr>
          <w:rFonts w:ascii="Times New Roman" w:hAnsi="Times New Roman" w:cs="Times New Roman"/>
          <w:b/>
          <w:sz w:val="28"/>
          <w:szCs w:val="28"/>
        </w:rPr>
        <w:id w:val="1811979815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sz w:val="28"/>
            <w:szCs w:val="28"/>
            <w:lang w:val="en-US" w:eastAsia="zh-TW"/>
          </w:rPr>
          <w:pict w14:anchorId="4455A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E0E40" w:rsidRPr="00AE0E40">
      <w:rPr>
        <w:rFonts w:ascii="Times New Roman" w:hAnsi="Times New Roman" w:cs="Times New Roman"/>
        <w:b/>
        <w:sz w:val="28"/>
        <w:szCs w:val="28"/>
      </w:rPr>
      <w:t xml:space="preserve"> </w:t>
    </w:r>
    <w:r w:rsidR="00AE0E40">
      <w:rPr>
        <w:rFonts w:ascii="Times New Roman" w:hAnsi="Times New Roman" w:cs="Times New Roman"/>
        <w:b/>
        <w:sz w:val="28"/>
        <w:szCs w:val="28"/>
      </w:rPr>
      <w:t>Health Education Reference Council</w:t>
    </w:r>
  </w:p>
  <w:p w:rsidR="0074028E" w:rsidRDefault="00C169F7" w:rsidP="0074028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Draft </w:t>
    </w:r>
    <w:r w:rsidR="00650969">
      <w:rPr>
        <w:rFonts w:ascii="Times New Roman" w:hAnsi="Times New Roman" w:cs="Times New Roman"/>
        <w:b/>
        <w:sz w:val="28"/>
        <w:szCs w:val="28"/>
      </w:rPr>
      <w:t>Terms of Reference</w:t>
    </w:r>
    <w:r>
      <w:rPr>
        <w:rFonts w:ascii="Times New Roman" w:hAnsi="Times New Roman" w:cs="Times New Roman"/>
        <w:b/>
        <w:sz w:val="28"/>
        <w:szCs w:val="28"/>
      </w:rPr>
      <w:t xml:space="preserve"> – For Discussion</w:t>
    </w:r>
  </w:p>
  <w:p w:rsidR="00F7026D" w:rsidRPr="0074028E" w:rsidRDefault="00CC70B7" w:rsidP="000A3776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Cambria" w:hAnsi="Cambria"/>
        <w:sz w:val="24"/>
        <w:szCs w:val="24"/>
      </w:rPr>
      <w:pict w14:anchorId="2411BD82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4F6"/>
    <w:multiLevelType w:val="hybridMultilevel"/>
    <w:tmpl w:val="BB6A6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451"/>
    <w:multiLevelType w:val="hybridMultilevel"/>
    <w:tmpl w:val="75D61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685"/>
    <w:multiLevelType w:val="hybridMultilevel"/>
    <w:tmpl w:val="2EFAA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8E7"/>
    <w:multiLevelType w:val="hybridMultilevel"/>
    <w:tmpl w:val="02EEE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0B76"/>
    <w:multiLevelType w:val="hybridMultilevel"/>
    <w:tmpl w:val="E21A8A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60DEA"/>
    <w:multiLevelType w:val="hybridMultilevel"/>
    <w:tmpl w:val="1EF02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B54A9"/>
    <w:multiLevelType w:val="hybridMultilevel"/>
    <w:tmpl w:val="34E0F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0"/>
    <w:rsid w:val="000145B8"/>
    <w:rsid w:val="00014BB6"/>
    <w:rsid w:val="00027571"/>
    <w:rsid w:val="00067DDD"/>
    <w:rsid w:val="00075562"/>
    <w:rsid w:val="000A1E33"/>
    <w:rsid w:val="000A3776"/>
    <w:rsid w:val="000A4372"/>
    <w:rsid w:val="000A5FAB"/>
    <w:rsid w:val="000A6E5C"/>
    <w:rsid w:val="000C064D"/>
    <w:rsid w:val="001823A5"/>
    <w:rsid w:val="001A5AA8"/>
    <w:rsid w:val="001C3244"/>
    <w:rsid w:val="00225973"/>
    <w:rsid w:val="0024176C"/>
    <w:rsid w:val="002A78E3"/>
    <w:rsid w:val="002D5794"/>
    <w:rsid w:val="002E3F0A"/>
    <w:rsid w:val="002E61B3"/>
    <w:rsid w:val="002F02D1"/>
    <w:rsid w:val="002F3761"/>
    <w:rsid w:val="00304C13"/>
    <w:rsid w:val="0032235C"/>
    <w:rsid w:val="00332355"/>
    <w:rsid w:val="00346281"/>
    <w:rsid w:val="003549DF"/>
    <w:rsid w:val="003658A3"/>
    <w:rsid w:val="00375D2F"/>
    <w:rsid w:val="003B4509"/>
    <w:rsid w:val="003C1D70"/>
    <w:rsid w:val="003D37D5"/>
    <w:rsid w:val="003D68FC"/>
    <w:rsid w:val="003E1829"/>
    <w:rsid w:val="00414EC5"/>
    <w:rsid w:val="004178F3"/>
    <w:rsid w:val="00423AEC"/>
    <w:rsid w:val="004241CD"/>
    <w:rsid w:val="004250BB"/>
    <w:rsid w:val="00460A42"/>
    <w:rsid w:val="00480E55"/>
    <w:rsid w:val="004B51CD"/>
    <w:rsid w:val="004E5F3A"/>
    <w:rsid w:val="00530071"/>
    <w:rsid w:val="00534EE4"/>
    <w:rsid w:val="005655B6"/>
    <w:rsid w:val="00582F37"/>
    <w:rsid w:val="00591DF8"/>
    <w:rsid w:val="005B2BB4"/>
    <w:rsid w:val="005C3D04"/>
    <w:rsid w:val="005E1455"/>
    <w:rsid w:val="006021F4"/>
    <w:rsid w:val="0060239F"/>
    <w:rsid w:val="006330F4"/>
    <w:rsid w:val="00650969"/>
    <w:rsid w:val="00664777"/>
    <w:rsid w:val="0067493B"/>
    <w:rsid w:val="00681B95"/>
    <w:rsid w:val="00687D4E"/>
    <w:rsid w:val="006C5901"/>
    <w:rsid w:val="006C5CAC"/>
    <w:rsid w:val="00701271"/>
    <w:rsid w:val="00733224"/>
    <w:rsid w:val="00736A37"/>
    <w:rsid w:val="0074028E"/>
    <w:rsid w:val="00743C1B"/>
    <w:rsid w:val="00774871"/>
    <w:rsid w:val="0078044F"/>
    <w:rsid w:val="00787963"/>
    <w:rsid w:val="00795851"/>
    <w:rsid w:val="007B4562"/>
    <w:rsid w:val="007B6CDF"/>
    <w:rsid w:val="007C38F6"/>
    <w:rsid w:val="00834036"/>
    <w:rsid w:val="008563BD"/>
    <w:rsid w:val="00871D81"/>
    <w:rsid w:val="008A4588"/>
    <w:rsid w:val="008A46FD"/>
    <w:rsid w:val="008A4A24"/>
    <w:rsid w:val="008E0161"/>
    <w:rsid w:val="009013B0"/>
    <w:rsid w:val="0090396A"/>
    <w:rsid w:val="00911AC3"/>
    <w:rsid w:val="00923147"/>
    <w:rsid w:val="00963EB7"/>
    <w:rsid w:val="009748A8"/>
    <w:rsid w:val="00974FBD"/>
    <w:rsid w:val="00987BBA"/>
    <w:rsid w:val="009C2A05"/>
    <w:rsid w:val="009F2261"/>
    <w:rsid w:val="009F60D1"/>
    <w:rsid w:val="00A06C1D"/>
    <w:rsid w:val="00A20E8B"/>
    <w:rsid w:val="00A40780"/>
    <w:rsid w:val="00A6056A"/>
    <w:rsid w:val="00A63E01"/>
    <w:rsid w:val="00A736E5"/>
    <w:rsid w:val="00A811F5"/>
    <w:rsid w:val="00A83C08"/>
    <w:rsid w:val="00AB45BE"/>
    <w:rsid w:val="00AB55C6"/>
    <w:rsid w:val="00AB7F2C"/>
    <w:rsid w:val="00AC1CF8"/>
    <w:rsid w:val="00AE0E40"/>
    <w:rsid w:val="00B003E7"/>
    <w:rsid w:val="00B024F3"/>
    <w:rsid w:val="00B06BC5"/>
    <w:rsid w:val="00B25618"/>
    <w:rsid w:val="00B638F0"/>
    <w:rsid w:val="00B6609E"/>
    <w:rsid w:val="00B9103D"/>
    <w:rsid w:val="00BC3104"/>
    <w:rsid w:val="00BC6D98"/>
    <w:rsid w:val="00BF4B9E"/>
    <w:rsid w:val="00C00012"/>
    <w:rsid w:val="00C1273F"/>
    <w:rsid w:val="00C15473"/>
    <w:rsid w:val="00C169F7"/>
    <w:rsid w:val="00C20FA3"/>
    <w:rsid w:val="00C33B22"/>
    <w:rsid w:val="00C36C92"/>
    <w:rsid w:val="00C53380"/>
    <w:rsid w:val="00C634F2"/>
    <w:rsid w:val="00C656A5"/>
    <w:rsid w:val="00CA2E95"/>
    <w:rsid w:val="00CA69EF"/>
    <w:rsid w:val="00CC70B7"/>
    <w:rsid w:val="00D05D61"/>
    <w:rsid w:val="00D405F0"/>
    <w:rsid w:val="00D866FE"/>
    <w:rsid w:val="00D900A4"/>
    <w:rsid w:val="00DC73AC"/>
    <w:rsid w:val="00DE0F66"/>
    <w:rsid w:val="00DE2143"/>
    <w:rsid w:val="00DF7677"/>
    <w:rsid w:val="00E1094F"/>
    <w:rsid w:val="00E22818"/>
    <w:rsid w:val="00E50A13"/>
    <w:rsid w:val="00E55C06"/>
    <w:rsid w:val="00E747CA"/>
    <w:rsid w:val="00E955DD"/>
    <w:rsid w:val="00EA1CD9"/>
    <w:rsid w:val="00EC09B8"/>
    <w:rsid w:val="00ED05F1"/>
    <w:rsid w:val="00EE5AD6"/>
    <w:rsid w:val="00F15670"/>
    <w:rsid w:val="00F21482"/>
    <w:rsid w:val="00F7026D"/>
    <w:rsid w:val="00F7242D"/>
    <w:rsid w:val="00F96137"/>
    <w:rsid w:val="00FA221F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68E4974-B5F5-4D61-B31A-C8C4C3CE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8E"/>
  </w:style>
  <w:style w:type="paragraph" w:styleId="Footer">
    <w:name w:val="footer"/>
    <w:basedOn w:val="Normal"/>
    <w:link w:val="FooterChar"/>
    <w:uiPriority w:val="99"/>
    <w:unhideWhenUsed/>
    <w:rsid w:val="0074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8E"/>
  </w:style>
  <w:style w:type="character" w:styleId="CommentReference">
    <w:name w:val="annotation reference"/>
    <w:basedOn w:val="DefaultParagraphFont"/>
    <w:uiPriority w:val="99"/>
    <w:semiHidden/>
    <w:unhideWhenUsed/>
    <w:rsid w:val="00A83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6C92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36C9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F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pprovals Document" ma:contentTypeID="0x0101002B8F1E08DD0FAC4689DF2865F653F93E00906AF96CF8D37243B180C598EEF04052" ma:contentTypeVersion="2" ma:contentTypeDescription="" ma:contentTypeScope="" ma:versionID="93b7f2ffbb33b6bc31b6c7fd80cfc915">
  <xsd:schema xmlns:xsd="http://www.w3.org/2001/XMLSchema" xmlns:xs="http://www.w3.org/2001/XMLSchema" xmlns:p="http://schemas.microsoft.com/office/2006/metadata/properties" xmlns:ns2="5a67a745-2716-44cf-9715-ea35a50b39f5" targetNamespace="http://schemas.microsoft.com/office/2006/metadata/properties" ma:root="true" ma:fieldsID="b7edef18d1ed7c5e7015ebdbb9936a6c" ns2:_="">
    <xsd:import namespace="5a67a745-2716-44cf-9715-ea35a50b39f5"/>
    <xsd:element name="properties">
      <xsd:complexType>
        <xsd:sequence>
          <xsd:element name="documentManagement">
            <xsd:complexType>
              <xsd:all>
                <xsd:element ref="ns2:item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7a745-2716-44cf-9715-ea35a50b39f5" elementFormDefault="qualified">
    <xsd:import namespace="http://schemas.microsoft.com/office/2006/documentManagement/types"/>
    <xsd:import namespace="http://schemas.microsoft.com/office/infopath/2007/PartnerControls"/>
    <xsd:element name="item_x0020_number" ma:index="8" nillable="true" ma:displayName="Item Number DS" ma:hidden="true" ma:indexed="true" ma:internalName="item_x0020_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number xmlns="5a67a745-2716-44cf-9715-ea35a50b39f5">4064</item_x0020_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1EE3-1CD6-44AC-BB9E-3050C9BA3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1D76A-A27A-40C3-83FD-6DFD26BD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7a745-2716-44cf-9715-ea35a50b3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A72BC-435E-4A05-897B-7A3616C94B61}">
  <ds:schemaRefs>
    <ds:schemaRef ds:uri="http://schemas.microsoft.com/office/2006/metadata/properties"/>
    <ds:schemaRef ds:uri="http://schemas.microsoft.com/office/infopath/2007/PartnerControls"/>
    <ds:schemaRef ds:uri="5a67a745-2716-44cf-9715-ea35a50b39f5"/>
  </ds:schemaRefs>
</ds:datastoreItem>
</file>

<file path=customXml/itemProps4.xml><?xml version="1.0" encoding="utf-8"?>
<ds:datastoreItem xmlns:ds="http://schemas.openxmlformats.org/officeDocument/2006/customXml" ds:itemID="{6AE548C6-08C2-432B-9758-B0459E4A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Ranger, Katelyn HLTH:EX</dc:creator>
  <cp:lastModifiedBy>Olga Tomaszewska</cp:lastModifiedBy>
  <cp:revision>1</cp:revision>
  <cp:lastPrinted>2016-04-11T23:34:00Z</cp:lastPrinted>
  <dcterms:created xsi:type="dcterms:W3CDTF">2019-10-18T23:17:00Z</dcterms:created>
  <dcterms:modified xsi:type="dcterms:W3CDTF">2019-10-18T23:17:00Z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0x0101002B8F1E08DD0FAC4689DF2865F653F93E00906AF96CF8D37243B180C598EEF04052</vt:lpwstr>
  </property>
</Properties>
</file>